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6EE53" w14:textId="2CBAFCE9" w:rsidR="00AF28C6" w:rsidRDefault="004D436D">
      <w:pPr>
        <w:jc w:val="center"/>
        <w:rPr>
          <w:b/>
          <w:bCs/>
          <w:sz w:val="24"/>
          <w:szCs w:val="24"/>
        </w:rPr>
      </w:pPr>
      <w:r>
        <w:rPr>
          <w:b/>
          <w:bCs/>
          <w:sz w:val="24"/>
          <w:szCs w:val="24"/>
        </w:rPr>
        <w:t>Communiqué de la SF</w:t>
      </w:r>
      <w:r w:rsidR="00433919">
        <w:rPr>
          <w:b/>
          <w:bCs/>
          <w:sz w:val="24"/>
          <w:szCs w:val="24"/>
        </w:rPr>
        <w:t>NDT</w:t>
      </w:r>
    </w:p>
    <w:p w14:paraId="1C854DCA" w14:textId="77777777" w:rsidR="00433919" w:rsidRDefault="00433919">
      <w:pPr>
        <w:jc w:val="center"/>
        <w:rPr>
          <w:b/>
          <w:bCs/>
          <w:sz w:val="24"/>
          <w:szCs w:val="24"/>
        </w:rPr>
      </w:pPr>
    </w:p>
    <w:p w14:paraId="55E18E3D" w14:textId="77777777" w:rsidR="00AF28C6" w:rsidRDefault="004D436D">
      <w:pPr>
        <w:spacing w:line="360" w:lineRule="auto"/>
        <w:jc w:val="both"/>
        <w:rPr>
          <w:sz w:val="24"/>
          <w:szCs w:val="24"/>
        </w:rPr>
      </w:pPr>
      <w:proofErr w:type="gramStart"/>
      <w:r>
        <w:rPr>
          <w:sz w:val="24"/>
          <w:szCs w:val="24"/>
        </w:rPr>
        <w:t>Suite au</w:t>
      </w:r>
      <w:proofErr w:type="gramEnd"/>
      <w:r>
        <w:rPr>
          <w:sz w:val="24"/>
          <w:szCs w:val="24"/>
        </w:rPr>
        <w:t xml:space="preserve"> conflit qui a démarré en Ukraine le 24 février 2022, de nombreux néphrologues, ainsi que France-Rein, ont exprimé leur soutien aux patients atteint de MRC, touchés de plein fouet. L’attention a été plus particulièrement portée sur les patients dialysés, dépendants d’infrastructure et d’approvisionnement potentiellement désorganisés dans le contexte.</w:t>
      </w:r>
    </w:p>
    <w:p w14:paraId="491A9AD1" w14:textId="496EA3C1" w:rsidR="00AF28C6" w:rsidRPr="00807C3A" w:rsidRDefault="004D436D">
      <w:pPr>
        <w:spacing w:line="360" w:lineRule="auto"/>
        <w:jc w:val="both"/>
        <w:rPr>
          <w:rFonts w:ascii="Calibri" w:eastAsia="Times New Roman" w:hAnsi="Calibri" w:cs="Calibri"/>
          <w:sz w:val="24"/>
          <w:szCs w:val="24"/>
          <w:lang w:eastAsia="fr-FR"/>
        </w:rPr>
      </w:pPr>
      <w:r w:rsidRPr="00807C3A">
        <w:rPr>
          <w:sz w:val="24"/>
          <w:szCs w:val="24"/>
        </w:rPr>
        <w:t>Au cœur de cette réflexion, en contact avec des collègues de l’est de l’Europe, en particulier roumains, en contact également avec l’EKHA (</w:t>
      </w:r>
      <w:proofErr w:type="spellStart"/>
      <w:r w:rsidRPr="00807C3A">
        <w:rPr>
          <w:sz w:val="24"/>
          <w:szCs w:val="24"/>
        </w:rPr>
        <w:t>European</w:t>
      </w:r>
      <w:proofErr w:type="spellEnd"/>
      <w:r w:rsidRPr="00807C3A">
        <w:rPr>
          <w:sz w:val="24"/>
          <w:szCs w:val="24"/>
        </w:rPr>
        <w:t xml:space="preserve"> </w:t>
      </w:r>
      <w:proofErr w:type="spellStart"/>
      <w:r w:rsidRPr="00807C3A">
        <w:rPr>
          <w:sz w:val="24"/>
          <w:szCs w:val="24"/>
        </w:rPr>
        <w:t>Kidney</w:t>
      </w:r>
      <w:proofErr w:type="spellEnd"/>
      <w:r w:rsidRPr="00807C3A">
        <w:rPr>
          <w:sz w:val="24"/>
          <w:szCs w:val="24"/>
        </w:rPr>
        <w:t xml:space="preserve"> </w:t>
      </w:r>
      <w:proofErr w:type="spellStart"/>
      <w:r w:rsidRPr="00807C3A">
        <w:rPr>
          <w:sz w:val="24"/>
          <w:szCs w:val="24"/>
        </w:rPr>
        <w:t>Health</w:t>
      </w:r>
      <w:proofErr w:type="spellEnd"/>
      <w:r w:rsidRPr="00807C3A">
        <w:rPr>
          <w:sz w:val="24"/>
          <w:szCs w:val="24"/>
        </w:rPr>
        <w:t xml:space="preserve"> Alliance), la SFNDT est mobilisée pour chercher des solutions.</w:t>
      </w:r>
      <w:r w:rsidRPr="00807C3A">
        <w:rPr>
          <w:rFonts w:eastAsia="Times New Roman" w:cs="Calibri"/>
          <w:sz w:val="24"/>
          <w:szCs w:val="24"/>
          <w:lang w:eastAsia="fr-FR"/>
        </w:rPr>
        <w:t xml:space="preserve"> </w:t>
      </w:r>
      <w:r w:rsidR="00445E19">
        <w:rPr>
          <w:rFonts w:eastAsia="Times New Roman" w:cs="Calibri"/>
          <w:sz w:val="24"/>
          <w:szCs w:val="24"/>
          <w:lang w:eastAsia="fr-FR"/>
        </w:rPr>
        <w:t>Actuellement</w:t>
      </w:r>
      <w:r w:rsidRPr="00807C3A">
        <w:rPr>
          <w:rFonts w:eastAsia="Times New Roman" w:cs="Calibri"/>
          <w:sz w:val="24"/>
          <w:szCs w:val="24"/>
          <w:lang w:eastAsia="fr-FR"/>
        </w:rPr>
        <w:t>, elle conseille aux néphrologues qui souhaiteraient apporter une aide aux ukrainiens de passer par les dispositifs mis en place par les autorités de santé.</w:t>
      </w:r>
    </w:p>
    <w:p w14:paraId="1CB229E8" w14:textId="63C5E138" w:rsidR="00AF28C6" w:rsidRPr="00807C3A" w:rsidRDefault="004D436D">
      <w:pPr>
        <w:spacing w:line="360" w:lineRule="auto"/>
        <w:jc w:val="both"/>
        <w:rPr>
          <w:rFonts w:ascii="Calibri" w:eastAsia="Times New Roman" w:hAnsi="Calibri" w:cs="Calibri"/>
          <w:sz w:val="24"/>
          <w:szCs w:val="24"/>
          <w:lang w:eastAsia="fr-FR"/>
        </w:rPr>
      </w:pPr>
      <w:r w:rsidRPr="00807C3A">
        <w:rPr>
          <w:rFonts w:eastAsia="Times New Roman" w:cs="Calibri"/>
          <w:sz w:val="24"/>
          <w:szCs w:val="24"/>
          <w:lang w:eastAsia="fr-FR"/>
        </w:rPr>
        <w:t>En France, la DGOS a monté une organisation spécifique. Concernant les</w:t>
      </w:r>
      <w:r w:rsidRPr="00807C3A">
        <w:rPr>
          <w:rFonts w:eastAsia="Times New Roman" w:cs="Calibri"/>
          <w:b/>
          <w:bCs/>
          <w:sz w:val="24"/>
          <w:szCs w:val="24"/>
          <w:lang w:eastAsia="fr-FR"/>
        </w:rPr>
        <w:t xml:space="preserve"> appuis en matériels et médicaments, </w:t>
      </w:r>
      <w:r w:rsidRPr="00807C3A">
        <w:rPr>
          <w:rFonts w:eastAsia="Times New Roman" w:cs="Calibri"/>
          <w:sz w:val="24"/>
          <w:szCs w:val="24"/>
          <w:lang w:eastAsia="fr-FR"/>
        </w:rPr>
        <w:t xml:space="preserve">les initiatives de soutien financier doivent être orientées vers la Croix-Rouge ou les ONGS de terrain. </w:t>
      </w:r>
      <w:r w:rsidR="00807C3A" w:rsidRPr="00807C3A">
        <w:rPr>
          <w:rFonts w:eastAsia="Times New Roman" w:cs="Calibri"/>
          <w:sz w:val="24"/>
          <w:szCs w:val="24"/>
          <w:lang w:eastAsia="fr-FR"/>
        </w:rPr>
        <w:t>Par contre, l</w:t>
      </w:r>
      <w:r w:rsidRPr="00807C3A">
        <w:rPr>
          <w:rFonts w:eastAsia="Times New Roman" w:cs="Calibri"/>
          <w:sz w:val="24"/>
          <w:szCs w:val="24"/>
          <w:lang w:eastAsia="fr-FR"/>
        </w:rPr>
        <w:t>es propositions de dons de matériels et médicaments, notamment des établissements de santé, pour l'Ukraine et les pays voisins doivent être orientées vers l’ARS</w:t>
      </w:r>
      <w:r w:rsidR="00807C3A" w:rsidRPr="00807C3A">
        <w:rPr>
          <w:rFonts w:eastAsia="Times New Roman" w:cs="Calibri"/>
          <w:b/>
          <w:bCs/>
          <w:sz w:val="24"/>
          <w:szCs w:val="24"/>
          <w:lang w:eastAsia="fr-FR"/>
        </w:rPr>
        <w:t xml:space="preserve"> </w:t>
      </w:r>
      <w:r w:rsidRPr="00807C3A">
        <w:rPr>
          <w:rFonts w:eastAsia="Times New Roman" w:cs="Calibri"/>
          <w:sz w:val="24"/>
          <w:szCs w:val="24"/>
          <w:lang w:eastAsia="fr-FR"/>
        </w:rPr>
        <w:t xml:space="preserve">pour qu'elle puisse relayer la liste consolidée des propositions spontanées au niveau national. </w:t>
      </w:r>
    </w:p>
    <w:p w14:paraId="79FE64EC" w14:textId="15CDCB4F" w:rsidR="00AF28C6" w:rsidRPr="00807C3A" w:rsidRDefault="004D436D">
      <w:pPr>
        <w:spacing w:line="360" w:lineRule="auto"/>
        <w:jc w:val="both"/>
        <w:rPr>
          <w:rFonts w:ascii="Calibri" w:eastAsia="Times New Roman" w:hAnsi="Calibri" w:cs="Calibri"/>
          <w:sz w:val="24"/>
          <w:szCs w:val="24"/>
          <w:lang w:eastAsia="fr-FR"/>
        </w:rPr>
      </w:pPr>
      <w:r w:rsidRPr="00807C3A">
        <w:rPr>
          <w:rFonts w:eastAsia="Times New Roman" w:cs="Calibri"/>
          <w:sz w:val="24"/>
          <w:szCs w:val="24"/>
          <w:lang w:eastAsia="fr-FR"/>
        </w:rPr>
        <w:t xml:space="preserve">Le Ministère de la Santé travaille à l'identification de potentielles </w:t>
      </w:r>
      <w:r w:rsidRPr="00807C3A">
        <w:rPr>
          <w:rFonts w:eastAsia="Times New Roman" w:cs="Calibri"/>
          <w:b/>
          <w:bCs/>
          <w:sz w:val="24"/>
          <w:szCs w:val="24"/>
          <w:lang w:eastAsia="fr-FR"/>
        </w:rPr>
        <w:t>capacités de prises en charge médicale</w:t>
      </w:r>
      <w:r w:rsidRPr="00807C3A">
        <w:rPr>
          <w:rFonts w:eastAsia="Times New Roman" w:cs="Calibri"/>
          <w:sz w:val="24"/>
          <w:szCs w:val="24"/>
          <w:lang w:eastAsia="fr-FR"/>
        </w:rPr>
        <w:t xml:space="preserve"> sur le territoire national. Ces travaux sont réalisés en lien avec les ARS en anticipation pour identifier les possibilités d’accueils</w:t>
      </w:r>
      <w:r w:rsidR="00807C3A" w:rsidRPr="00807C3A">
        <w:rPr>
          <w:rFonts w:eastAsia="Times New Roman" w:cs="Calibri"/>
          <w:sz w:val="24"/>
          <w:szCs w:val="24"/>
          <w:lang w:eastAsia="fr-FR"/>
        </w:rPr>
        <w:t xml:space="preserve"> selon les</w:t>
      </w:r>
      <w:r w:rsidRPr="00807C3A">
        <w:rPr>
          <w:rFonts w:eastAsia="Times New Roman" w:cs="Calibri"/>
          <w:sz w:val="24"/>
          <w:szCs w:val="24"/>
          <w:lang w:eastAsia="fr-FR"/>
        </w:rPr>
        <w:t xml:space="preserve"> différentes typologies de patients tel que des blessés, des patients avec des maladies chroniques.</w:t>
      </w:r>
    </w:p>
    <w:p w14:paraId="2F72A20E" w14:textId="77777777" w:rsidR="00AF28C6" w:rsidRDefault="004D436D">
      <w:pPr>
        <w:spacing w:line="360" w:lineRule="auto"/>
        <w:jc w:val="both"/>
        <w:rPr>
          <w:rFonts w:ascii="Calibri" w:eastAsia="Times New Roman" w:hAnsi="Calibri" w:cs="Calibri"/>
          <w:color w:val="000000"/>
          <w:sz w:val="24"/>
          <w:szCs w:val="24"/>
          <w:lang w:eastAsia="fr-FR"/>
        </w:rPr>
      </w:pPr>
      <w:r>
        <w:rPr>
          <w:rFonts w:eastAsia="Times New Roman" w:cs="Calibri"/>
          <w:color w:val="000000"/>
          <w:sz w:val="24"/>
          <w:szCs w:val="24"/>
          <w:lang w:eastAsia="fr-FR"/>
        </w:rPr>
        <w:t>Concernant l’</w:t>
      </w:r>
      <w:r w:rsidRPr="00445E19">
        <w:rPr>
          <w:rFonts w:eastAsia="Times New Roman" w:cs="Calibri"/>
          <w:b/>
          <w:bCs/>
          <w:color w:val="000000"/>
          <w:sz w:val="24"/>
          <w:szCs w:val="24"/>
          <w:lang w:eastAsia="fr-FR"/>
        </w:rPr>
        <w:t>accueil de personnes réfugiées</w:t>
      </w:r>
      <w:r>
        <w:rPr>
          <w:rFonts w:eastAsia="Times New Roman" w:cs="Calibri"/>
          <w:color w:val="000000"/>
          <w:sz w:val="24"/>
          <w:szCs w:val="24"/>
          <w:lang w:eastAsia="fr-FR"/>
        </w:rPr>
        <w:t>, les Préfectures ont la charge de l'organisation de leur accueil sur le territoire national. Les besoins de prise en charge potentielle de ces personnes seront analysés et les prises en charge organisées par les ARS sous la coordination des Préfectures.</w:t>
      </w:r>
    </w:p>
    <w:p w14:paraId="5BBFB15A" w14:textId="3BD74F70" w:rsidR="00AF28C6" w:rsidRPr="00445E19" w:rsidRDefault="004D436D">
      <w:pPr>
        <w:spacing w:line="360" w:lineRule="auto"/>
        <w:jc w:val="both"/>
        <w:rPr>
          <w:sz w:val="24"/>
          <w:szCs w:val="24"/>
        </w:rPr>
      </w:pPr>
      <w:r w:rsidRPr="00445E19">
        <w:rPr>
          <w:sz w:val="24"/>
          <w:szCs w:val="24"/>
        </w:rPr>
        <w:t xml:space="preserve">La SFNDT </w:t>
      </w:r>
      <w:r w:rsidR="00445E19" w:rsidRPr="00445E19">
        <w:rPr>
          <w:sz w:val="24"/>
          <w:szCs w:val="24"/>
        </w:rPr>
        <w:t>reste</w:t>
      </w:r>
      <w:r w:rsidRPr="00445E19">
        <w:rPr>
          <w:sz w:val="24"/>
          <w:szCs w:val="24"/>
        </w:rPr>
        <w:t xml:space="preserve"> à tout moment engagée et à disposition des autorités de santé pour répondre aux besoins.</w:t>
      </w:r>
    </w:p>
    <w:sectPr w:rsidR="00AF28C6" w:rsidRPr="00445E19">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8C6"/>
    <w:rsid w:val="00433919"/>
    <w:rsid w:val="00445E19"/>
    <w:rsid w:val="004D436D"/>
    <w:rsid w:val="00807C3A"/>
    <w:rsid w:val="00AF28C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23430"/>
  <w15:docId w15:val="{96999575-7176-4400-AEFF-405AB112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Paragraphedeliste">
    <w:name w:val="List Paragraph"/>
    <w:basedOn w:val="Normal"/>
    <w:uiPriority w:val="34"/>
    <w:qFormat/>
    <w:rsid w:val="003B6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1706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FRIMAT Luc</dc:creator>
  <dc:description/>
  <cp:lastModifiedBy>Nataly REVEL</cp:lastModifiedBy>
  <cp:revision>2</cp:revision>
  <dcterms:created xsi:type="dcterms:W3CDTF">2022-03-10T14:31:00Z</dcterms:created>
  <dcterms:modified xsi:type="dcterms:W3CDTF">2022-03-10T14:31:00Z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